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94F3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Uvod u ekonomiju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154A" w:rsidRPr="0027102B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38223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154A" w:rsidRPr="0027102B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Stručni studij </w:t>
            </w:r>
            <w:r>
              <w:rPr>
                <w:rFonts w:ascii="Cambria" w:hAnsi="Cambria" w:cs="Calibri"/>
                <w:sz w:val="20"/>
                <w:lang w:val="hr-HR"/>
              </w:rPr>
              <w:t>lovstva i zaštite prirode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154A" w:rsidRPr="0027102B" w:rsidRDefault="007054A1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Andreja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Primužak,dipl.oec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viši predavač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154A" w:rsidRPr="001E488F" w:rsidRDefault="00BC5553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Dr.sc.Jelić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Damir, asistent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154A" w:rsidRPr="001E488F" w:rsidRDefault="007054A1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B3154A">
              <w:rPr>
                <w:rFonts w:ascii="Cambria" w:hAnsi="Cambria" w:cs="Calibri"/>
                <w:sz w:val="20"/>
                <w:lang w:val="hr-HR"/>
              </w:rPr>
              <w:t>/202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predmeta je upoznati studente sa temeljnim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pojmovima ekonomije koji stvaraju pretpostavke za razumijevanje i funkcioniranje suvremenih gospodarskih sustava i okruženja u kojem će studenti djelovati nakon završetka studija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60%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60 %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Opisati temeljne pojmove ekonomije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granicu proizvodnih mogućnosti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te pojam i vrste tržišta.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  <w:p w:rsidR="009A02E7" w:rsidRPr="000B610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ponudu i potražnju te elastičnost ponude i potražnje u odnosu na cijenu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Razlikovati pojmove vezane uz novac i kreditnu aktivnost poslovnih banaka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te vrste vrijednosnih papira.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I4: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Prezentirati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osnovne pojmove vezane uz razumijevanje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financijskih izvješća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pojam makroekonomije i osnovne makroekonomske agregate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6: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Prezentirati pojam marketinga i osnovne funkcije marketinga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9A02E7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A370A">
              <w:rPr>
                <w:rFonts w:ascii="Cambria" w:hAnsi="Cambria" w:cs="Calibri"/>
                <w:sz w:val="20"/>
                <w:lang w:val="hr-HR"/>
              </w:rPr>
              <w:t xml:space="preserve">Po uspješno usvojenom znanju studenti će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steći opće i stručne kompetencije potrebne za razumijevanje temeljnih ekonomskih pojmova te će biti </w:t>
            </w:r>
            <w:r w:rsidRPr="00CA370A">
              <w:rPr>
                <w:rFonts w:ascii="Cambria" w:hAnsi="Cambria" w:cs="Calibri"/>
                <w:sz w:val="20"/>
                <w:lang w:val="hr-HR"/>
              </w:rPr>
              <w:t>u mogućnosti prepoznati realne mogućnosti razvoja gospodarstva u cjelini kao i mogućnosti i ograničenja razvoja društava u kojima su zaposleni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9A02E7" w:rsidP="009A02E7">
            <w:pPr>
              <w:spacing w:before="40"/>
              <w:jc w:val="center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9A02E7" w:rsidP="009A02E7">
            <w:pPr>
              <w:spacing w:before="40"/>
              <w:jc w:val="center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Tržište: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Ponuda i potražnja: elementi koji utječu na ponudu i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potražnju,ravnoteža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Ponuda i potražnja: elementi koji utječu na ponudu i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potražnju,ravnoteža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rPr>
          <w:trHeight w:val="223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Krediti: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pojam,stvaranje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kredita,vrste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kredita. Pojmovi vezani za novac: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valuta,deviza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>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7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22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8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61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Državna potrošnja: značaj i uloga,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proračun,odnosi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Državna potrošnja: značaj i uloga, </w:t>
            </w:r>
            <w:proofErr w:type="spellStart"/>
            <w:r w:rsidRPr="00C301E9">
              <w:rPr>
                <w:rFonts w:ascii="Cambria" w:hAnsi="Cambria" w:cs="Calibri"/>
                <w:sz w:val="20"/>
                <w:lang w:val="hr-HR"/>
              </w:rPr>
              <w:t>proračun,odnosi</w:t>
            </w:r>
            <w:proofErr w:type="spellEnd"/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1B5E7E">
        <w:trPr>
          <w:trHeight w:val="70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:rsidR="001B5E7E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Uvod u ekonomiju, Veleučilište u Karlovcu, Karlovac, 20</w:t>
            </w: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  <w:p w:rsidR="001B5E7E" w:rsidRPr="0027102B" w:rsidRDefault="001B5E7E" w:rsidP="001B5E7E">
            <w:pPr>
              <w:ind w:left="72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Osnove ekonomije, Veleučilište u Karlovcu, Karlovac, 2010.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Samuelson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P. A.,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Nordhaus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W. D.: Ekonomija, Mate, Zagreb, 2011.</w:t>
            </w:r>
          </w:p>
          <w:p w:rsidR="001B5E7E" w:rsidRDefault="001B5E7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Benić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Đ.: Osnove ekonomije, Školska knjiga, Zagreb, 2004</w:t>
            </w:r>
            <w:r w:rsidRPr="00032B09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1B5E7E" w:rsidRPr="001E488F" w:rsidRDefault="001B5E7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7054A1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7054A1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1B5E7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planu ispitnih</w:t>
            </w:r>
            <w:r w:rsidR="007054A1">
              <w:rPr>
                <w:rFonts w:ascii="Cambria" w:hAnsi="Cambria" w:cs="Calibri"/>
                <w:sz w:val="20"/>
                <w:lang w:val="hr-HR"/>
              </w:rPr>
              <w:t xml:space="preserve"> rokova za akademsku godinu 2022</w:t>
            </w:r>
            <w:r>
              <w:rPr>
                <w:rFonts w:ascii="Cambria" w:hAnsi="Cambria" w:cs="Calibri"/>
                <w:sz w:val="20"/>
                <w:lang w:val="hr-HR"/>
              </w:rPr>
              <w:t>/202</w:t>
            </w:r>
            <w:r w:rsidR="007054A1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054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Andreja Primužak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dipl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oec.viši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predavač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054A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andreja.primuzak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054A1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 i poslije predavanja i putem e- maila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885C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Dr.sc.Jelić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Damir, asistent</w:t>
            </w:r>
            <w:bookmarkStart w:id="0" w:name="_GoBack"/>
            <w:bookmarkEnd w:id="0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885C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damir.jelic@vuka.hr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D8397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Prije i poslije predavanja i putem e- maila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1E" w:rsidRDefault="00B64B1E">
      <w:r>
        <w:separator/>
      </w:r>
    </w:p>
  </w:endnote>
  <w:endnote w:type="continuationSeparator" w:id="0">
    <w:p w:rsidR="00B64B1E" w:rsidRDefault="00B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F068B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F068B">
      <w:rPr>
        <w:noProof/>
        <w:sz w:val="12"/>
      </w:rPr>
      <w:t>6:02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1E" w:rsidRDefault="00B64B1E">
      <w:r>
        <w:separator/>
      </w:r>
    </w:p>
  </w:footnote>
  <w:footnote w:type="continuationSeparator" w:id="0">
    <w:p w:rsidR="00B64B1E" w:rsidRDefault="00B6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5E7E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FCD"/>
    <w:rsid w:val="00263649"/>
    <w:rsid w:val="002710F3"/>
    <w:rsid w:val="00275E5F"/>
    <w:rsid w:val="00283357"/>
    <w:rsid w:val="002A43AA"/>
    <w:rsid w:val="002A7ED7"/>
    <w:rsid w:val="002B178E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068B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054A1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85C4D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02E7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154A"/>
    <w:rsid w:val="00B32CBE"/>
    <w:rsid w:val="00B3767F"/>
    <w:rsid w:val="00B412C5"/>
    <w:rsid w:val="00B550CE"/>
    <w:rsid w:val="00B60A49"/>
    <w:rsid w:val="00B64B1E"/>
    <w:rsid w:val="00B67D37"/>
    <w:rsid w:val="00B706AE"/>
    <w:rsid w:val="00B804ED"/>
    <w:rsid w:val="00B81649"/>
    <w:rsid w:val="00B84E19"/>
    <w:rsid w:val="00B966F0"/>
    <w:rsid w:val="00BA4839"/>
    <w:rsid w:val="00BA554A"/>
    <w:rsid w:val="00BC5553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397B"/>
    <w:rsid w:val="00D87E53"/>
    <w:rsid w:val="00D90A11"/>
    <w:rsid w:val="00D9200E"/>
    <w:rsid w:val="00D94F39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94BA8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003-B534-4AF3-9804-92C715E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Andreja Primužak</cp:lastModifiedBy>
  <cp:revision>5</cp:revision>
  <cp:lastPrinted>2021-09-07T10:26:00Z</cp:lastPrinted>
  <dcterms:created xsi:type="dcterms:W3CDTF">2022-09-26T16:03:00Z</dcterms:created>
  <dcterms:modified xsi:type="dcterms:W3CDTF">2022-09-26T16:06:00Z</dcterms:modified>
</cp:coreProperties>
</file>